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D5" w:rsidRPr="00711208" w:rsidRDefault="00BB77D5" w:rsidP="00BB77D5">
      <w:pPr>
        <w:spacing w:after="0"/>
        <w:jc w:val="center"/>
        <w:rPr>
          <w:rFonts w:ascii="Times New Roman" w:hAnsi="Times New Roman" w:cs="Times New Roman"/>
          <w:b/>
          <w:bCs/>
          <w:sz w:val="26"/>
          <w:szCs w:val="26"/>
        </w:rPr>
      </w:pPr>
      <w:proofErr w:type="spellStart"/>
      <w:r w:rsidRPr="00711208">
        <w:rPr>
          <w:rFonts w:ascii="Times New Roman" w:hAnsi="Times New Roman" w:cs="Times New Roman"/>
          <w:b/>
          <w:bCs/>
          <w:sz w:val="26"/>
          <w:szCs w:val="26"/>
        </w:rPr>
        <w:t>Smt</w:t>
      </w:r>
      <w:proofErr w:type="spellEnd"/>
      <w:r w:rsidRPr="00711208">
        <w:rPr>
          <w:rFonts w:ascii="Times New Roman" w:hAnsi="Times New Roman" w:cs="Times New Roman"/>
          <w:b/>
          <w:bCs/>
          <w:sz w:val="26"/>
          <w:szCs w:val="26"/>
        </w:rPr>
        <w:t xml:space="preserve"> </w:t>
      </w:r>
      <w:proofErr w:type="spellStart"/>
      <w:r w:rsidRPr="00711208">
        <w:rPr>
          <w:rFonts w:ascii="Times New Roman" w:hAnsi="Times New Roman" w:cs="Times New Roman"/>
          <w:b/>
          <w:bCs/>
          <w:sz w:val="26"/>
          <w:szCs w:val="26"/>
        </w:rPr>
        <w:t>Aruna</w:t>
      </w:r>
      <w:proofErr w:type="spellEnd"/>
      <w:r w:rsidRPr="00711208">
        <w:rPr>
          <w:rFonts w:ascii="Times New Roman" w:hAnsi="Times New Roman" w:cs="Times New Roman"/>
          <w:b/>
          <w:bCs/>
          <w:sz w:val="26"/>
          <w:szCs w:val="26"/>
        </w:rPr>
        <w:t xml:space="preserve"> </w:t>
      </w:r>
      <w:proofErr w:type="spellStart"/>
      <w:r w:rsidRPr="00711208">
        <w:rPr>
          <w:rFonts w:ascii="Times New Roman" w:hAnsi="Times New Roman" w:cs="Times New Roman"/>
          <w:b/>
          <w:bCs/>
          <w:sz w:val="26"/>
          <w:szCs w:val="26"/>
        </w:rPr>
        <w:t>Asaf</w:t>
      </w:r>
      <w:proofErr w:type="spellEnd"/>
      <w:r w:rsidRPr="00711208">
        <w:rPr>
          <w:rFonts w:ascii="Times New Roman" w:hAnsi="Times New Roman" w:cs="Times New Roman"/>
          <w:b/>
          <w:bCs/>
          <w:sz w:val="26"/>
          <w:szCs w:val="26"/>
        </w:rPr>
        <w:t xml:space="preserve"> Ali Government Post Graduate College Kalka</w:t>
      </w:r>
    </w:p>
    <w:p w:rsidR="00BB77D5" w:rsidRPr="00711208" w:rsidRDefault="00BB77D5" w:rsidP="00BB77D5">
      <w:pPr>
        <w:spacing w:after="0"/>
        <w:jc w:val="center"/>
        <w:rPr>
          <w:rFonts w:ascii="Times New Roman" w:hAnsi="Times New Roman" w:cs="Times New Roman"/>
          <w:b/>
          <w:bCs/>
          <w:sz w:val="26"/>
          <w:szCs w:val="26"/>
        </w:rPr>
      </w:pPr>
      <w:r w:rsidRPr="00711208">
        <w:rPr>
          <w:rFonts w:ascii="Times New Roman" w:hAnsi="Times New Roman" w:cs="Times New Roman"/>
          <w:b/>
          <w:bCs/>
          <w:sz w:val="26"/>
          <w:szCs w:val="26"/>
        </w:rPr>
        <w:t>Department of Commerce</w:t>
      </w:r>
    </w:p>
    <w:p w:rsidR="00BB77D5" w:rsidRPr="00711208" w:rsidRDefault="00BB77D5" w:rsidP="00BB77D5">
      <w:pPr>
        <w:spacing w:after="0"/>
        <w:jc w:val="center"/>
        <w:rPr>
          <w:rFonts w:ascii="Times New Roman" w:hAnsi="Times New Roman" w:cs="Times New Roman"/>
          <w:b/>
          <w:bCs/>
          <w:sz w:val="26"/>
          <w:szCs w:val="26"/>
        </w:rPr>
      </w:pPr>
      <w:r w:rsidRPr="00711208">
        <w:rPr>
          <w:rFonts w:ascii="Times New Roman" w:hAnsi="Times New Roman" w:cs="Times New Roman"/>
          <w:b/>
          <w:bCs/>
          <w:sz w:val="26"/>
          <w:szCs w:val="26"/>
        </w:rPr>
        <w:t>Student Satisfaction Survey (2018-19)</w:t>
      </w:r>
    </w:p>
    <w:p w:rsidR="00BB77D5" w:rsidRPr="00711208" w:rsidRDefault="00BB77D5" w:rsidP="00BB77D5">
      <w:pPr>
        <w:spacing w:after="0"/>
        <w:jc w:val="center"/>
        <w:rPr>
          <w:rFonts w:ascii="Times New Roman" w:hAnsi="Times New Roman" w:cs="Times New Roman"/>
          <w:b/>
          <w:bCs/>
          <w:sz w:val="26"/>
          <w:szCs w:val="26"/>
        </w:rPr>
      </w:pPr>
      <w:r w:rsidRPr="00711208">
        <w:rPr>
          <w:rFonts w:ascii="Times New Roman" w:hAnsi="Times New Roman" w:cs="Times New Roman"/>
          <w:b/>
          <w:bCs/>
          <w:sz w:val="26"/>
          <w:szCs w:val="26"/>
        </w:rPr>
        <w:t>Interpretation of the survey</w:t>
      </w: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r w:rsidRPr="00711208">
        <w:rPr>
          <w:rFonts w:ascii="Times New Roman" w:hAnsi="Times New Roman" w:cs="Times New Roman"/>
        </w:rPr>
        <w:t xml:space="preserve">In respect to the Student Satisfaction Survey being conducted by the College for NAAC for the session 2018-19, </w:t>
      </w:r>
      <w:proofErr w:type="gramStart"/>
      <w:r w:rsidRPr="00711208">
        <w:rPr>
          <w:rFonts w:ascii="Times New Roman" w:hAnsi="Times New Roman" w:cs="Times New Roman"/>
        </w:rPr>
        <w:t>Following</w:t>
      </w:r>
      <w:proofErr w:type="gramEnd"/>
      <w:r w:rsidRPr="00711208">
        <w:rPr>
          <w:rFonts w:ascii="Times New Roman" w:hAnsi="Times New Roman" w:cs="Times New Roman"/>
        </w:rPr>
        <w:t xml:space="preserve"> results are derived:</w:t>
      </w:r>
    </w:p>
    <w:p w:rsidR="00BB77D5" w:rsidRPr="00711208" w:rsidRDefault="00BB77D5" w:rsidP="00BB77D5">
      <w:pPr>
        <w:rPr>
          <w:rFonts w:ascii="Times New Roman" w:hAnsi="Times New Roman" w:cs="Times New Roman"/>
        </w:rPr>
      </w:pPr>
      <w:r w:rsidRPr="00711208">
        <w:rPr>
          <w:rFonts w:ascii="Times New Roman" w:hAnsi="Times New Roman" w:cs="Times New Roman"/>
        </w:rPr>
        <w:t>Majority of students i.e. 80 percent of the students agreed that 85-100% of the syllabus is being covered in the class and 56 % of the students prompted that the teachers come thoroughly prepared for the class.</w:t>
      </w:r>
    </w:p>
    <w:p w:rsidR="00BB77D5" w:rsidRPr="00711208" w:rsidRDefault="00BB77D5" w:rsidP="00BB77D5">
      <w:pPr>
        <w:rPr>
          <w:rFonts w:ascii="Times New Roman" w:hAnsi="Times New Roman" w:cs="Times New Roman"/>
        </w:rPr>
      </w:pPr>
      <w:r w:rsidRPr="00711208">
        <w:rPr>
          <w:rFonts w:ascii="Times New Roman" w:hAnsi="Times New Roman" w:cs="Times New Roman"/>
        </w:rPr>
        <w:t>It is revealed that 72% of the students agree that the teachers effectively communicate with the class, 56% of the students feel that the teachers have excellent approach to teaching and 28% of the students feel that the teachers have a very good approach to teaching.</w:t>
      </w:r>
    </w:p>
    <w:p w:rsidR="00BB77D5" w:rsidRPr="00711208" w:rsidRDefault="00BB77D5" w:rsidP="00BB77D5">
      <w:pPr>
        <w:rPr>
          <w:rFonts w:ascii="Times New Roman" w:hAnsi="Times New Roman" w:cs="Times New Roman"/>
        </w:rPr>
      </w:pPr>
      <w:r w:rsidRPr="00711208">
        <w:rPr>
          <w:rFonts w:ascii="Times New Roman" w:hAnsi="Times New Roman" w:cs="Times New Roman"/>
        </w:rPr>
        <w:t>It is observed that 84% of the students agree that the institute takes active interest in promoting internship, student exchange and field visit opportunities for the students.</w:t>
      </w:r>
    </w:p>
    <w:p w:rsidR="00BB77D5" w:rsidRPr="00711208" w:rsidRDefault="00BB77D5" w:rsidP="00BB77D5">
      <w:pPr>
        <w:rPr>
          <w:rFonts w:ascii="Times New Roman" w:hAnsi="Times New Roman" w:cs="Times New Roman"/>
        </w:rPr>
      </w:pPr>
      <w:r w:rsidRPr="00711208">
        <w:rPr>
          <w:rFonts w:ascii="Times New Roman" w:hAnsi="Times New Roman" w:cs="Times New Roman"/>
        </w:rPr>
        <w:t>With regard to the teaching and mentoring process in the institute, it is inferred that 76% of the students significantly believe that the institute facilitates them in cognitive, social and emotional growth and 56% of the students responded that their mentors do a necessary follow up with an assigned task to them.</w:t>
      </w:r>
    </w:p>
    <w:p w:rsidR="00BB77D5" w:rsidRPr="00711208" w:rsidRDefault="00BB77D5" w:rsidP="00BB77D5">
      <w:pPr>
        <w:rPr>
          <w:rFonts w:ascii="Times New Roman" w:hAnsi="Times New Roman" w:cs="Times New Roman"/>
        </w:rPr>
      </w:pPr>
      <w:r w:rsidRPr="00711208">
        <w:rPr>
          <w:rFonts w:ascii="Times New Roman" w:hAnsi="Times New Roman" w:cs="Times New Roman"/>
        </w:rPr>
        <w:t>It is further noted that 48% of the students agree that the institute provides multiple opportunities to learn and grow and nearly 48% of the students agree that every time their teachers inform them about expected competencies, course outcomes and programme outcomes.</w:t>
      </w:r>
    </w:p>
    <w:p w:rsidR="00BB77D5" w:rsidRPr="00711208" w:rsidRDefault="00BB77D5" w:rsidP="00BB77D5">
      <w:pPr>
        <w:rPr>
          <w:rFonts w:ascii="Times New Roman" w:hAnsi="Times New Roman" w:cs="Times New Roman"/>
        </w:rPr>
      </w:pPr>
      <w:r w:rsidRPr="00711208">
        <w:rPr>
          <w:rFonts w:ascii="Times New Roman" w:hAnsi="Times New Roman" w:cs="Times New Roman"/>
        </w:rPr>
        <w:t>In respect to the question of illustrating the concepts explained by teachers, 88% of the students agree that their teachers explain the topic through examples and applications and 56% of the students pointed that nearly 70-89% of the teachers use ICT tools such as LCD Projector, Multimedia etc while teaching.</w:t>
      </w:r>
    </w:p>
    <w:p w:rsidR="00BB77D5" w:rsidRPr="00711208" w:rsidRDefault="00BB77D5" w:rsidP="00BB77D5">
      <w:pPr>
        <w:rPr>
          <w:rFonts w:ascii="Times New Roman" w:hAnsi="Times New Roman" w:cs="Times New Roman"/>
        </w:rPr>
      </w:pPr>
      <w:r w:rsidRPr="00711208">
        <w:rPr>
          <w:rFonts w:ascii="Times New Roman" w:hAnsi="Times New Roman" w:cs="Times New Roman"/>
        </w:rPr>
        <w:t>A majority of 52% of the students agree that the teachers fully identify their strengths and encourage them with providing right level of challenges and a major chunk of 60% of the students said that every time their teachers are able to identify their weaknesses and help them to overcome them. 52% of the students strongly agree that the institution makes an effort to encourage the students in the monitoring, reviewing and continuous quality improvement of the teaching learning process and 68% of the students moderately believe that the institute/teachers use student centric methods, such as experiential learning, participative learning and problem-solving methodologies for enhancing learning experiences.</w:t>
      </w:r>
    </w:p>
    <w:p w:rsidR="00BB77D5" w:rsidRPr="00711208" w:rsidRDefault="00BB77D5" w:rsidP="00BB77D5">
      <w:pPr>
        <w:rPr>
          <w:rFonts w:ascii="Times New Roman" w:hAnsi="Times New Roman" w:cs="Times New Roman"/>
        </w:rPr>
      </w:pPr>
      <w:proofErr w:type="gramStart"/>
      <w:r w:rsidRPr="00711208">
        <w:rPr>
          <w:rFonts w:ascii="Times New Roman" w:hAnsi="Times New Roman" w:cs="Times New Roman"/>
        </w:rPr>
        <w:t>A large chunk I.e. 60% of the students strongly agree</w:t>
      </w:r>
      <w:proofErr w:type="gramEnd"/>
      <w:r w:rsidRPr="00711208">
        <w:rPr>
          <w:rFonts w:ascii="Times New Roman" w:hAnsi="Times New Roman" w:cs="Times New Roman"/>
        </w:rPr>
        <w:t xml:space="preserve"> and 40% of the students agree with the view point that the teachers encourage them to participate in extracurricular activities.</w:t>
      </w:r>
    </w:p>
    <w:p w:rsidR="00BB77D5" w:rsidRPr="00711208" w:rsidRDefault="00BB77D5" w:rsidP="00BB77D5">
      <w:pPr>
        <w:rPr>
          <w:rFonts w:ascii="Times New Roman" w:hAnsi="Times New Roman" w:cs="Times New Roman"/>
        </w:rPr>
      </w:pPr>
      <w:r w:rsidRPr="00711208">
        <w:rPr>
          <w:rFonts w:ascii="Times New Roman" w:hAnsi="Times New Roman" w:cs="Times New Roman"/>
        </w:rPr>
        <w:lastRenderedPageBreak/>
        <w:t>In regard to the efforts made by the institute/teachers to inculcate soft skills, life skills and</w:t>
      </w:r>
    </w:p>
    <w:p w:rsidR="00BB77D5" w:rsidRPr="00711208" w:rsidRDefault="00BB77D5" w:rsidP="00BB77D5">
      <w:pPr>
        <w:rPr>
          <w:rFonts w:ascii="Times New Roman" w:hAnsi="Times New Roman" w:cs="Times New Roman"/>
        </w:rPr>
      </w:pPr>
      <w:r w:rsidRPr="00711208">
        <w:rPr>
          <w:rFonts w:ascii="Times New Roman" w:hAnsi="Times New Roman" w:cs="Times New Roman"/>
        </w:rPr>
        <w:t>Employability skills, 48% of the students agree to a great extent that the teachers make the</w:t>
      </w:r>
    </w:p>
    <w:p w:rsidR="00BB77D5" w:rsidRPr="00711208" w:rsidRDefault="00BB77D5" w:rsidP="00BB77D5">
      <w:pPr>
        <w:rPr>
          <w:rFonts w:ascii="Times New Roman" w:hAnsi="Times New Roman" w:cs="Times New Roman"/>
        </w:rPr>
      </w:pPr>
      <w:r w:rsidRPr="00711208">
        <w:rPr>
          <w:rFonts w:ascii="Times New Roman" w:hAnsi="Times New Roman" w:cs="Times New Roman"/>
        </w:rPr>
        <w:t xml:space="preserve">Students ready for the world of work, an equal percentage i.e. 48% moderately agree with the </w:t>
      </w:r>
      <w:proofErr w:type="gramStart"/>
      <w:r w:rsidRPr="00711208">
        <w:rPr>
          <w:rFonts w:ascii="Times New Roman" w:hAnsi="Times New Roman" w:cs="Times New Roman"/>
        </w:rPr>
        <w:t>Same</w:t>
      </w:r>
      <w:proofErr w:type="gramEnd"/>
      <w:r w:rsidRPr="00711208">
        <w:rPr>
          <w:rFonts w:ascii="Times New Roman" w:hAnsi="Times New Roman" w:cs="Times New Roman"/>
        </w:rPr>
        <w:t xml:space="preserve"> and 56% of the students strongly agree that overall quality of teaching-learning process in the institute is very good.</w:t>
      </w:r>
    </w:p>
    <w:p w:rsidR="00BB77D5" w:rsidRPr="00711208" w:rsidRDefault="00BB77D5" w:rsidP="00BB77D5">
      <w:pPr>
        <w:rPr>
          <w:rFonts w:ascii="Times New Roman" w:hAnsi="Times New Roman" w:cs="Times New Roman"/>
        </w:rPr>
      </w:pPr>
      <w:r w:rsidRPr="00711208">
        <w:rPr>
          <w:rFonts w:ascii="Times New Roman" w:hAnsi="Times New Roman" w:cs="Times New Roman"/>
        </w:rPr>
        <w:t>With reference to the suggestions to improve the overall teaching-learning experience in the institute, substantially majority of the students suggested that semester system should be replaced with annual system.</w:t>
      </w:r>
    </w:p>
    <w:p w:rsidR="00BB77D5" w:rsidRPr="00711208" w:rsidRDefault="00BB77D5" w:rsidP="00BB77D5">
      <w:pPr>
        <w:rPr>
          <w:rFonts w:ascii="Times New Roman" w:hAnsi="Times New Roman" w:cs="Times New Roman"/>
        </w:rPr>
      </w:pPr>
    </w:p>
    <w:p w:rsidR="00BB77D5" w:rsidRPr="00711208" w:rsidRDefault="00BB77D5" w:rsidP="00BB77D5">
      <w:pPr>
        <w:jc w:val="right"/>
        <w:rPr>
          <w:rFonts w:ascii="Times New Roman" w:hAnsi="Times New Roman" w:cs="Times New Roman"/>
        </w:rPr>
      </w:pPr>
      <w:r w:rsidRPr="00711208">
        <w:rPr>
          <w:rFonts w:ascii="Times New Roman" w:hAnsi="Times New Roman" w:cs="Times New Roman"/>
        </w:rPr>
        <w:t>Head</w:t>
      </w:r>
    </w:p>
    <w:p w:rsidR="00BB77D5" w:rsidRPr="00711208" w:rsidRDefault="00BB77D5" w:rsidP="00BB77D5">
      <w:pPr>
        <w:jc w:val="right"/>
        <w:rPr>
          <w:rFonts w:ascii="Times New Roman" w:hAnsi="Times New Roman" w:cs="Times New Roman"/>
        </w:rPr>
      </w:pPr>
      <w:r w:rsidRPr="00711208">
        <w:rPr>
          <w:rFonts w:ascii="Times New Roman" w:hAnsi="Times New Roman" w:cs="Times New Roman"/>
        </w:rPr>
        <w:t>Department of Commerce</w:t>
      </w: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National Assessment and Accreditation Council (NAAC)</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Student Satisfaction Survey</w:t>
      </w:r>
    </w:p>
    <w:p w:rsidR="00BB77D5" w:rsidRPr="00711208" w:rsidRDefault="00BB77D5" w:rsidP="00BB77D5">
      <w:pPr>
        <w:spacing w:after="0"/>
        <w:jc w:val="center"/>
        <w:rPr>
          <w:rFonts w:ascii="Times New Roman" w:hAnsi="Times New Roman" w:cs="Times New Roman"/>
          <w:b/>
          <w:bCs/>
        </w:rPr>
      </w:pPr>
      <w:proofErr w:type="spellStart"/>
      <w:r w:rsidRPr="00711208">
        <w:rPr>
          <w:rFonts w:ascii="Times New Roman" w:hAnsi="Times New Roman" w:cs="Times New Roman"/>
          <w:b/>
          <w:bCs/>
        </w:rPr>
        <w:t>Kry</w:t>
      </w:r>
      <w:proofErr w:type="spellEnd"/>
      <w:r w:rsidRPr="00711208">
        <w:rPr>
          <w:rFonts w:ascii="Times New Roman" w:hAnsi="Times New Roman" w:cs="Times New Roman"/>
          <w:b/>
          <w:bCs/>
        </w:rPr>
        <w:t xml:space="preserve"> Indicator-2.71</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Under Criterion II of teaching-learning and evaluation</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B.Com. II Year</w:t>
      </w:r>
    </w:p>
    <w:tbl>
      <w:tblPr>
        <w:tblStyle w:val="TableGrid"/>
        <w:tblW w:w="0" w:type="auto"/>
        <w:tblLook w:val="04A0"/>
      </w:tblPr>
      <w:tblGrid>
        <w:gridCol w:w="857"/>
        <w:gridCol w:w="840"/>
        <w:gridCol w:w="839"/>
        <w:gridCol w:w="839"/>
        <w:gridCol w:w="839"/>
        <w:gridCol w:w="836"/>
        <w:gridCol w:w="839"/>
        <w:gridCol w:w="839"/>
        <w:gridCol w:w="839"/>
        <w:gridCol w:w="836"/>
        <w:gridCol w:w="839"/>
      </w:tblGrid>
      <w:tr w:rsidR="00BB77D5" w:rsidRPr="00711208" w:rsidTr="00A75397">
        <w:tc>
          <w:tcPr>
            <w:tcW w:w="859" w:type="dxa"/>
          </w:tcPr>
          <w:p w:rsidR="00BB77D5" w:rsidRPr="00711208" w:rsidRDefault="00BB77D5" w:rsidP="00A75397">
            <w:pPr>
              <w:jc w:val="center"/>
              <w:rPr>
                <w:rFonts w:ascii="Times New Roman" w:hAnsi="Times New Roman" w:cs="Times New Roman"/>
                <w:b/>
                <w:bCs/>
              </w:rPr>
            </w:pPr>
          </w:p>
        </w:tc>
        <w:tc>
          <w:tcPr>
            <w:tcW w:w="8491" w:type="dxa"/>
            <w:gridSpan w:val="10"/>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OPTIONS</w:t>
            </w:r>
          </w:p>
        </w:tc>
      </w:tr>
      <w:tr w:rsidR="00BB77D5" w:rsidRPr="00711208" w:rsidTr="00A75397">
        <w:tc>
          <w:tcPr>
            <w:tcW w:w="85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Ques. No.</w:t>
            </w:r>
          </w:p>
        </w:tc>
        <w:tc>
          <w:tcPr>
            <w:tcW w:w="850"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4</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3</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2</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1</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0</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18</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bl>
    <w:p w:rsidR="00BB77D5" w:rsidRPr="00711208" w:rsidRDefault="00BB77D5" w:rsidP="00BB77D5">
      <w:pPr>
        <w:spacing w:after="0"/>
        <w:jc w:val="center"/>
        <w:rPr>
          <w:rFonts w:ascii="Times New Roman" w:hAnsi="Times New Roman" w:cs="Times New Roman"/>
          <w:b/>
          <w:bCs/>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Pr="00711208" w:rsidRDefault="00BB77D5" w:rsidP="00BB77D5">
      <w:pPr>
        <w:spacing w:after="0"/>
        <w:jc w:val="center"/>
        <w:rPr>
          <w:rFonts w:ascii="Times New Roman" w:hAnsi="Times New Roman" w:cs="Times New Roman"/>
          <w:b/>
          <w:bCs/>
        </w:rPr>
      </w:pPr>
      <w:proofErr w:type="spellStart"/>
      <w:r w:rsidRPr="00711208">
        <w:rPr>
          <w:rFonts w:ascii="Times New Roman" w:hAnsi="Times New Roman" w:cs="Times New Roman"/>
          <w:b/>
          <w:bCs/>
        </w:rPr>
        <w:t>Smt</w:t>
      </w:r>
      <w:proofErr w:type="spellEnd"/>
      <w:r w:rsidRPr="00711208">
        <w:rPr>
          <w:rFonts w:ascii="Times New Roman" w:hAnsi="Times New Roman" w:cs="Times New Roman"/>
          <w:b/>
          <w:bCs/>
        </w:rPr>
        <w:t xml:space="preserve"> </w:t>
      </w:r>
      <w:proofErr w:type="spellStart"/>
      <w:r w:rsidRPr="00711208">
        <w:rPr>
          <w:rFonts w:ascii="Times New Roman" w:hAnsi="Times New Roman" w:cs="Times New Roman"/>
          <w:b/>
          <w:bCs/>
        </w:rPr>
        <w:t>Aruna</w:t>
      </w:r>
      <w:proofErr w:type="spellEnd"/>
      <w:r w:rsidRPr="00711208">
        <w:rPr>
          <w:rFonts w:ascii="Times New Roman" w:hAnsi="Times New Roman" w:cs="Times New Roman"/>
          <w:b/>
          <w:bCs/>
        </w:rPr>
        <w:t xml:space="preserve"> </w:t>
      </w:r>
      <w:proofErr w:type="spellStart"/>
      <w:r w:rsidRPr="00711208">
        <w:rPr>
          <w:rFonts w:ascii="Times New Roman" w:hAnsi="Times New Roman" w:cs="Times New Roman"/>
          <w:b/>
          <w:bCs/>
        </w:rPr>
        <w:t>Asaf</w:t>
      </w:r>
      <w:proofErr w:type="spellEnd"/>
      <w:r w:rsidRPr="00711208">
        <w:rPr>
          <w:rFonts w:ascii="Times New Roman" w:hAnsi="Times New Roman" w:cs="Times New Roman"/>
          <w:b/>
          <w:bCs/>
        </w:rPr>
        <w:t xml:space="preserve"> Ali Government Post Graduate College, Kalka</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Department of Computer Science &amp; Application</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Student Satisfaction Survey (2018-19)</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Interpretation of Survey</w:t>
      </w: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r w:rsidRPr="00711208">
        <w:rPr>
          <w:rFonts w:ascii="Times New Roman" w:hAnsi="Times New Roman" w:cs="Times New Roman"/>
        </w:rPr>
        <w:t>In respect to the student satisfaction survey conducted by the College for NAAC for the session 2018-19, followings views of the students are derived:</w:t>
      </w:r>
    </w:p>
    <w:p w:rsidR="00BB77D5" w:rsidRPr="00711208" w:rsidRDefault="00BB77D5" w:rsidP="00BB77D5">
      <w:pPr>
        <w:rPr>
          <w:rFonts w:ascii="Times New Roman" w:hAnsi="Times New Roman" w:cs="Times New Roman"/>
        </w:rPr>
      </w:pPr>
      <w:r w:rsidRPr="00711208">
        <w:rPr>
          <w:rFonts w:ascii="Times New Roman" w:hAnsi="Times New Roman" w:cs="Times New Roman"/>
        </w:rPr>
        <w:t>More than 69% students agreed that 55-84% of the syllabus is being covered in the class and 96% of the students were of the view that teacher come thoroughly/satisfactorily prepared in the class.</w:t>
      </w:r>
    </w:p>
    <w:p w:rsidR="00BB77D5" w:rsidRPr="00711208" w:rsidRDefault="00BB77D5" w:rsidP="00BB77D5">
      <w:pPr>
        <w:rPr>
          <w:rFonts w:ascii="Times New Roman" w:hAnsi="Times New Roman" w:cs="Times New Roman"/>
        </w:rPr>
      </w:pPr>
      <w:r w:rsidRPr="00711208">
        <w:rPr>
          <w:rFonts w:ascii="Times New Roman" w:hAnsi="Times New Roman" w:cs="Times New Roman"/>
        </w:rPr>
        <w:t xml:space="preserve">96% of the students agree that the teachers effectively communicate with the class and 100% students intimate that teacher approach to teaching is good/very </w:t>
      </w:r>
      <w:proofErr w:type="gramStart"/>
      <w:r w:rsidRPr="00711208">
        <w:rPr>
          <w:rFonts w:ascii="Times New Roman" w:hAnsi="Times New Roman" w:cs="Times New Roman"/>
        </w:rPr>
        <w:t>good/excellent</w:t>
      </w:r>
      <w:proofErr w:type="gramEnd"/>
      <w:r w:rsidRPr="00711208">
        <w:rPr>
          <w:rFonts w:ascii="Times New Roman" w:hAnsi="Times New Roman" w:cs="Times New Roman"/>
        </w:rPr>
        <w:t>.</w:t>
      </w:r>
    </w:p>
    <w:p w:rsidR="00BB77D5" w:rsidRPr="00711208" w:rsidRDefault="00BB77D5" w:rsidP="00BB77D5">
      <w:pPr>
        <w:rPr>
          <w:rFonts w:ascii="Times New Roman" w:hAnsi="Times New Roman" w:cs="Times New Roman"/>
        </w:rPr>
      </w:pPr>
      <w:r w:rsidRPr="00711208">
        <w:rPr>
          <w:rFonts w:ascii="Times New Roman" w:hAnsi="Times New Roman" w:cs="Times New Roman"/>
        </w:rPr>
        <w:t xml:space="preserve">All </w:t>
      </w:r>
      <w:proofErr w:type="gramStart"/>
      <w:r w:rsidRPr="00711208">
        <w:rPr>
          <w:rFonts w:ascii="Times New Roman" w:hAnsi="Times New Roman" w:cs="Times New Roman"/>
        </w:rPr>
        <w:t>student</w:t>
      </w:r>
      <w:proofErr w:type="gramEnd"/>
      <w:r w:rsidRPr="00711208">
        <w:rPr>
          <w:rFonts w:ascii="Times New Roman" w:hAnsi="Times New Roman" w:cs="Times New Roman"/>
        </w:rPr>
        <w:t xml:space="preserve"> agreed that internal evaluation process of teacher is fair and more than 75% students agree that their assignment performance was discussed by teacher with them.</w:t>
      </w:r>
    </w:p>
    <w:p w:rsidR="00BB77D5" w:rsidRPr="00711208" w:rsidRDefault="00BB77D5" w:rsidP="00BB77D5">
      <w:pPr>
        <w:rPr>
          <w:rFonts w:ascii="Times New Roman" w:hAnsi="Times New Roman" w:cs="Times New Roman"/>
        </w:rPr>
      </w:pPr>
      <w:r w:rsidRPr="00711208">
        <w:rPr>
          <w:rFonts w:ascii="Times New Roman" w:hAnsi="Times New Roman" w:cs="Times New Roman"/>
        </w:rPr>
        <w:t xml:space="preserve">With regard to internship, student exchange, field visit opportunities, 64% accept that </w:t>
      </w:r>
      <w:proofErr w:type="spellStart"/>
      <w:r w:rsidRPr="00711208">
        <w:rPr>
          <w:rFonts w:ascii="Times New Roman" w:hAnsi="Times New Roman" w:cs="Times New Roman"/>
        </w:rPr>
        <w:t>thee</w:t>
      </w:r>
      <w:proofErr w:type="spellEnd"/>
      <w:r w:rsidRPr="00711208">
        <w:rPr>
          <w:rFonts w:ascii="Times New Roman" w:hAnsi="Times New Roman" w:cs="Times New Roman"/>
        </w:rPr>
        <w:t xml:space="preserve"> opportunities are being provide to them by Institute.</w:t>
      </w:r>
    </w:p>
    <w:p w:rsidR="00BB77D5" w:rsidRPr="00711208" w:rsidRDefault="00BB77D5" w:rsidP="00BB77D5">
      <w:pPr>
        <w:rPr>
          <w:rFonts w:ascii="Times New Roman" w:hAnsi="Times New Roman" w:cs="Times New Roman"/>
        </w:rPr>
      </w:pPr>
      <w:r w:rsidRPr="00711208">
        <w:rPr>
          <w:rFonts w:ascii="Times New Roman" w:hAnsi="Times New Roman" w:cs="Times New Roman"/>
        </w:rPr>
        <w:t>With regard to the teaching and mentoring process in the institute, it is derived that 90% of the students believe that the institute facilitates them in cognitive soul and emotional growth.</w:t>
      </w:r>
    </w:p>
    <w:p w:rsidR="00BB77D5" w:rsidRPr="00711208" w:rsidRDefault="00BB77D5" w:rsidP="00BB77D5">
      <w:pPr>
        <w:rPr>
          <w:rFonts w:ascii="Times New Roman" w:hAnsi="Times New Roman" w:cs="Times New Roman"/>
        </w:rPr>
      </w:pPr>
      <w:r w:rsidRPr="00711208">
        <w:rPr>
          <w:rFonts w:ascii="Times New Roman" w:hAnsi="Times New Roman" w:cs="Times New Roman"/>
        </w:rPr>
        <w:t>It is also noted that 92% of the students agree that the institute provides multiple opportunities to learn and grow and also agree that every time their teachers inform them about expected competencies, course outcomes and programme outcomes</w:t>
      </w:r>
    </w:p>
    <w:p w:rsidR="00BB77D5" w:rsidRPr="00711208" w:rsidRDefault="00BB77D5" w:rsidP="00BB77D5">
      <w:pPr>
        <w:rPr>
          <w:rFonts w:ascii="Times New Roman" w:hAnsi="Times New Roman" w:cs="Times New Roman"/>
        </w:rPr>
      </w:pPr>
      <w:r w:rsidRPr="00711208">
        <w:rPr>
          <w:rFonts w:ascii="Times New Roman" w:hAnsi="Times New Roman" w:cs="Times New Roman"/>
        </w:rPr>
        <w:t>In respect to the question of illustrating the concepts explained by teachers, all students agree that their teachers explain the concepts through examples and applications and 84% of the students agree that the teacher highly identify their strengths and Encourage them with providing right level of challenges and their teachers able to identify their weakness and help them to overcome them.</w:t>
      </w:r>
    </w:p>
    <w:p w:rsidR="00BB77D5" w:rsidRPr="00711208" w:rsidRDefault="00BB77D5" w:rsidP="00BB77D5">
      <w:pPr>
        <w:rPr>
          <w:rFonts w:ascii="Times New Roman" w:hAnsi="Times New Roman" w:cs="Times New Roman"/>
        </w:rPr>
      </w:pPr>
      <w:r w:rsidRPr="00711208">
        <w:rPr>
          <w:rFonts w:ascii="Times New Roman" w:hAnsi="Times New Roman" w:cs="Times New Roman"/>
        </w:rPr>
        <w:t>68% all the students agree that the institution makes an effort to encourage the students in the monitoring reviewing and continuous quality improvement of the teaching learning process and 96% of the students believe that the institute/teachers Use student centric method such as experiential learning participative learning and problem-solving methodologies to enhancing learning experiences.</w:t>
      </w:r>
    </w:p>
    <w:p w:rsidR="00BB77D5" w:rsidRPr="00711208" w:rsidRDefault="00BB77D5" w:rsidP="00BB77D5">
      <w:pPr>
        <w:rPr>
          <w:rFonts w:ascii="Times New Roman" w:hAnsi="Times New Roman" w:cs="Times New Roman"/>
        </w:rPr>
      </w:pPr>
      <w:r w:rsidRPr="00711208">
        <w:rPr>
          <w:rFonts w:ascii="Times New Roman" w:hAnsi="Times New Roman" w:cs="Times New Roman"/>
        </w:rPr>
        <w:lastRenderedPageBreak/>
        <w:t>All students agree with the view point that the teachers encourage them to participate in extracurricular activities.</w:t>
      </w:r>
    </w:p>
    <w:p w:rsidR="00BB77D5" w:rsidRPr="00711208" w:rsidRDefault="00BB77D5" w:rsidP="00BB77D5">
      <w:pPr>
        <w:rPr>
          <w:rFonts w:ascii="Times New Roman" w:hAnsi="Times New Roman" w:cs="Times New Roman"/>
        </w:rPr>
      </w:pPr>
      <w:r w:rsidRPr="00711208">
        <w:rPr>
          <w:rFonts w:ascii="Times New Roman" w:hAnsi="Times New Roman" w:cs="Times New Roman"/>
        </w:rPr>
        <w:t>In regard to the efforts made by the Institute inculcate soft skills, life skill and employability skills, 96% of the students agree that the teachers make the students ready for the world of work and 72% agree that their teachers use ICT tools such as LCD projector, Multimedia etc. in teaching.</w:t>
      </w:r>
    </w:p>
    <w:p w:rsidR="00BB77D5" w:rsidRPr="00711208" w:rsidRDefault="00BB77D5" w:rsidP="00BB77D5">
      <w:pPr>
        <w:rPr>
          <w:rFonts w:ascii="Times New Roman" w:hAnsi="Times New Roman" w:cs="Times New Roman"/>
        </w:rPr>
      </w:pPr>
      <w:r w:rsidRPr="00711208">
        <w:rPr>
          <w:rFonts w:ascii="Times New Roman" w:hAnsi="Times New Roman" w:cs="Times New Roman"/>
        </w:rPr>
        <w:t>All the students agree that overall quality of teaching-learning process in the institute is very good.</w:t>
      </w:r>
    </w:p>
    <w:p w:rsidR="00BB77D5" w:rsidRPr="00711208" w:rsidRDefault="00BB77D5" w:rsidP="00BB77D5">
      <w:pPr>
        <w:rPr>
          <w:rFonts w:ascii="Times New Roman" w:hAnsi="Times New Roman" w:cs="Times New Roman"/>
        </w:rPr>
      </w:pPr>
    </w:p>
    <w:p w:rsidR="00BB77D5" w:rsidRPr="00711208" w:rsidRDefault="00BB77D5" w:rsidP="00BB77D5">
      <w:pPr>
        <w:jc w:val="right"/>
        <w:rPr>
          <w:rFonts w:ascii="Times New Roman" w:hAnsi="Times New Roman" w:cs="Times New Roman"/>
        </w:rPr>
      </w:pPr>
      <w:r w:rsidRPr="00711208">
        <w:rPr>
          <w:rFonts w:ascii="Times New Roman" w:hAnsi="Times New Roman" w:cs="Times New Roman"/>
        </w:rPr>
        <w:t>(Head)</w:t>
      </w:r>
    </w:p>
    <w:p w:rsidR="00BB77D5" w:rsidRPr="00711208" w:rsidRDefault="00BB77D5" w:rsidP="00BB77D5">
      <w:pPr>
        <w:jc w:val="right"/>
        <w:rPr>
          <w:rFonts w:ascii="Times New Roman" w:hAnsi="Times New Roman" w:cs="Times New Roman"/>
        </w:rPr>
      </w:pPr>
      <w:r w:rsidRPr="00711208">
        <w:rPr>
          <w:rFonts w:ascii="Times New Roman" w:hAnsi="Times New Roman" w:cs="Times New Roman"/>
        </w:rPr>
        <w:t>Department of Computer Science &amp; Application</w:t>
      </w: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National Assessment and Accreditation Council (NAAC)</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Student Satisfaction Survey</w:t>
      </w:r>
    </w:p>
    <w:p w:rsidR="00BB77D5" w:rsidRPr="00711208" w:rsidRDefault="00BB77D5" w:rsidP="00BB77D5">
      <w:pPr>
        <w:spacing w:after="0"/>
        <w:jc w:val="center"/>
        <w:rPr>
          <w:rFonts w:ascii="Times New Roman" w:hAnsi="Times New Roman" w:cs="Times New Roman"/>
          <w:b/>
          <w:bCs/>
        </w:rPr>
      </w:pPr>
      <w:proofErr w:type="spellStart"/>
      <w:r w:rsidRPr="00711208">
        <w:rPr>
          <w:rFonts w:ascii="Times New Roman" w:hAnsi="Times New Roman" w:cs="Times New Roman"/>
          <w:b/>
          <w:bCs/>
        </w:rPr>
        <w:t>Kry</w:t>
      </w:r>
      <w:proofErr w:type="spellEnd"/>
      <w:r w:rsidRPr="00711208">
        <w:rPr>
          <w:rFonts w:ascii="Times New Roman" w:hAnsi="Times New Roman" w:cs="Times New Roman"/>
          <w:b/>
          <w:bCs/>
        </w:rPr>
        <w:t xml:space="preserve"> Indicator-2.71</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Under Criterion II of teaching-learning and evaluation</w:t>
      </w:r>
    </w:p>
    <w:p w:rsidR="00BB77D5" w:rsidRPr="00711208" w:rsidRDefault="00BB77D5" w:rsidP="00BB77D5">
      <w:pPr>
        <w:spacing w:after="0"/>
        <w:jc w:val="center"/>
        <w:rPr>
          <w:rFonts w:ascii="Times New Roman" w:hAnsi="Times New Roman" w:cs="Times New Roman"/>
          <w:b/>
          <w:bCs/>
        </w:rPr>
      </w:pPr>
    </w:p>
    <w:tbl>
      <w:tblPr>
        <w:tblStyle w:val="TableGrid"/>
        <w:tblW w:w="0" w:type="auto"/>
        <w:tblLook w:val="04A0"/>
      </w:tblPr>
      <w:tblGrid>
        <w:gridCol w:w="858"/>
        <w:gridCol w:w="841"/>
        <w:gridCol w:w="840"/>
        <w:gridCol w:w="839"/>
        <w:gridCol w:w="839"/>
        <w:gridCol w:w="836"/>
        <w:gridCol w:w="839"/>
        <w:gridCol w:w="836"/>
        <w:gridCol w:w="839"/>
        <w:gridCol w:w="836"/>
        <w:gridCol w:w="839"/>
      </w:tblGrid>
      <w:tr w:rsidR="00BB77D5" w:rsidRPr="00711208" w:rsidTr="00A75397">
        <w:tc>
          <w:tcPr>
            <w:tcW w:w="859" w:type="dxa"/>
          </w:tcPr>
          <w:p w:rsidR="00BB77D5" w:rsidRPr="00711208" w:rsidRDefault="00BB77D5" w:rsidP="00A75397">
            <w:pPr>
              <w:jc w:val="center"/>
              <w:rPr>
                <w:rFonts w:ascii="Times New Roman" w:hAnsi="Times New Roman" w:cs="Times New Roman"/>
                <w:b/>
                <w:bCs/>
              </w:rPr>
            </w:pPr>
          </w:p>
        </w:tc>
        <w:tc>
          <w:tcPr>
            <w:tcW w:w="8491" w:type="dxa"/>
            <w:gridSpan w:val="10"/>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OPTIONS</w:t>
            </w:r>
          </w:p>
        </w:tc>
      </w:tr>
      <w:tr w:rsidR="00BB77D5" w:rsidRPr="00711208" w:rsidTr="00A75397">
        <w:tc>
          <w:tcPr>
            <w:tcW w:w="85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Ques. No.</w:t>
            </w:r>
          </w:p>
        </w:tc>
        <w:tc>
          <w:tcPr>
            <w:tcW w:w="850"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4</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3</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2</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1</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0</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18</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bl>
    <w:p w:rsidR="00BB77D5" w:rsidRPr="00711208" w:rsidRDefault="00BB77D5" w:rsidP="00BB77D5">
      <w:pPr>
        <w:spacing w:after="0"/>
        <w:jc w:val="center"/>
        <w:rPr>
          <w:rFonts w:ascii="Times New Roman" w:hAnsi="Times New Roman" w:cs="Times New Roman"/>
          <w:b/>
          <w:bCs/>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Pr="00711208" w:rsidRDefault="00BB77D5" w:rsidP="00BB77D5">
      <w:pPr>
        <w:spacing w:after="0"/>
        <w:jc w:val="center"/>
        <w:rPr>
          <w:rFonts w:ascii="Times New Roman" w:hAnsi="Times New Roman" w:cs="Times New Roman"/>
          <w:b/>
          <w:bCs/>
        </w:rPr>
      </w:pPr>
      <w:proofErr w:type="spellStart"/>
      <w:r w:rsidRPr="00711208">
        <w:rPr>
          <w:rFonts w:ascii="Times New Roman" w:hAnsi="Times New Roman" w:cs="Times New Roman"/>
          <w:b/>
          <w:bCs/>
        </w:rPr>
        <w:t>Smt</w:t>
      </w:r>
      <w:proofErr w:type="spellEnd"/>
      <w:r w:rsidRPr="00711208">
        <w:rPr>
          <w:rFonts w:ascii="Times New Roman" w:hAnsi="Times New Roman" w:cs="Times New Roman"/>
          <w:b/>
          <w:bCs/>
        </w:rPr>
        <w:t xml:space="preserve"> </w:t>
      </w:r>
      <w:proofErr w:type="spellStart"/>
      <w:r w:rsidRPr="00711208">
        <w:rPr>
          <w:rFonts w:ascii="Times New Roman" w:hAnsi="Times New Roman" w:cs="Times New Roman"/>
          <w:b/>
          <w:bCs/>
        </w:rPr>
        <w:t>Aruna</w:t>
      </w:r>
      <w:proofErr w:type="spellEnd"/>
      <w:r w:rsidRPr="00711208">
        <w:rPr>
          <w:rFonts w:ascii="Times New Roman" w:hAnsi="Times New Roman" w:cs="Times New Roman"/>
          <w:b/>
          <w:bCs/>
        </w:rPr>
        <w:t xml:space="preserve"> </w:t>
      </w:r>
      <w:proofErr w:type="spellStart"/>
      <w:r w:rsidRPr="00711208">
        <w:rPr>
          <w:rFonts w:ascii="Times New Roman" w:hAnsi="Times New Roman" w:cs="Times New Roman"/>
          <w:b/>
          <w:bCs/>
        </w:rPr>
        <w:t>Asaf</w:t>
      </w:r>
      <w:proofErr w:type="spellEnd"/>
      <w:r w:rsidRPr="00711208">
        <w:rPr>
          <w:rFonts w:ascii="Times New Roman" w:hAnsi="Times New Roman" w:cs="Times New Roman"/>
          <w:b/>
          <w:bCs/>
        </w:rPr>
        <w:t xml:space="preserve"> Ali Government Post Graduate College, Kalka</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Department of Arts Faculty</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Student satisfaction Survey (2018-19)</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Interpretation of Survey</w:t>
      </w: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r w:rsidRPr="00711208">
        <w:rPr>
          <w:rFonts w:ascii="Times New Roman" w:hAnsi="Times New Roman" w:cs="Times New Roman"/>
        </w:rPr>
        <w:t>In respect to the student satisfaction survey conducted by the college for NAAC for the session 2018-19, followings views of the students are derived:</w:t>
      </w:r>
    </w:p>
    <w:p w:rsidR="00BB77D5" w:rsidRPr="00711208" w:rsidRDefault="00BB77D5" w:rsidP="00BB77D5">
      <w:pPr>
        <w:rPr>
          <w:rFonts w:ascii="Times New Roman" w:hAnsi="Times New Roman" w:cs="Times New Roman"/>
        </w:rPr>
      </w:pPr>
      <w:r w:rsidRPr="00711208">
        <w:rPr>
          <w:rFonts w:ascii="Times New Roman" w:hAnsi="Times New Roman" w:cs="Times New Roman"/>
        </w:rPr>
        <w:t xml:space="preserve">92% students agreed that 70-100% of the syllabus is being covered in the class and 98% of the Students were of the view that teacher come thoroughly satisfactorily prepared in the class. </w:t>
      </w:r>
    </w:p>
    <w:p w:rsidR="00BB77D5" w:rsidRPr="00711208" w:rsidRDefault="00BB77D5" w:rsidP="00BB77D5">
      <w:pPr>
        <w:rPr>
          <w:rFonts w:ascii="Times New Roman" w:hAnsi="Times New Roman" w:cs="Times New Roman"/>
        </w:rPr>
      </w:pPr>
      <w:r w:rsidRPr="00711208">
        <w:rPr>
          <w:rFonts w:ascii="Times New Roman" w:hAnsi="Times New Roman" w:cs="Times New Roman"/>
        </w:rPr>
        <w:t>92% of the students agree that the teachers effectively communicate with the class and 98%and students intimate that teacher approach to teaching is very good/ excellent.</w:t>
      </w:r>
    </w:p>
    <w:p w:rsidR="00BB77D5" w:rsidRPr="00711208" w:rsidRDefault="00BB77D5" w:rsidP="00BB77D5">
      <w:pPr>
        <w:rPr>
          <w:rFonts w:ascii="Times New Roman" w:hAnsi="Times New Roman" w:cs="Times New Roman"/>
        </w:rPr>
      </w:pPr>
      <w:r w:rsidRPr="00711208">
        <w:rPr>
          <w:rFonts w:ascii="Times New Roman" w:hAnsi="Times New Roman" w:cs="Times New Roman"/>
        </w:rPr>
        <w:t>All students agreed that internal evaluation process of teacher is fair and 92% students agree that their assignment performance was discussed by teacher with them.</w:t>
      </w:r>
    </w:p>
    <w:p w:rsidR="00BB77D5" w:rsidRPr="00711208" w:rsidRDefault="00BB77D5" w:rsidP="00BB77D5">
      <w:pPr>
        <w:rPr>
          <w:rFonts w:ascii="Times New Roman" w:hAnsi="Times New Roman" w:cs="Times New Roman"/>
        </w:rPr>
      </w:pPr>
      <w:r w:rsidRPr="00711208">
        <w:rPr>
          <w:rFonts w:ascii="Times New Roman" w:hAnsi="Times New Roman" w:cs="Times New Roman"/>
        </w:rPr>
        <w:t>With regard to internship, student exchange, field visit opportunities, 72% accept that these opportunities are being provided to them by Institute.</w:t>
      </w:r>
    </w:p>
    <w:p w:rsidR="00BB77D5" w:rsidRPr="00711208" w:rsidRDefault="00BB77D5" w:rsidP="00BB77D5">
      <w:pPr>
        <w:rPr>
          <w:rFonts w:ascii="Times New Roman" w:hAnsi="Times New Roman" w:cs="Times New Roman"/>
        </w:rPr>
      </w:pPr>
      <w:r w:rsidRPr="00711208">
        <w:rPr>
          <w:rFonts w:ascii="Times New Roman" w:hAnsi="Times New Roman" w:cs="Times New Roman"/>
        </w:rPr>
        <w:t>With regard to the teaching and mentoring process in the institute, it is derived that 78% of the students believe that the institute facilitates them in cognitive soul and emotional growth.</w:t>
      </w:r>
    </w:p>
    <w:p w:rsidR="00BB77D5" w:rsidRPr="00711208" w:rsidRDefault="00BB77D5" w:rsidP="00BB77D5">
      <w:pPr>
        <w:rPr>
          <w:rFonts w:ascii="Times New Roman" w:hAnsi="Times New Roman" w:cs="Times New Roman"/>
        </w:rPr>
      </w:pPr>
      <w:r w:rsidRPr="00711208">
        <w:rPr>
          <w:rFonts w:ascii="Times New Roman" w:hAnsi="Times New Roman" w:cs="Times New Roman"/>
        </w:rPr>
        <w:t>It is also noted that 80% of the students agree that the institute provides multiple opportunities to learn and grow and 76% also agree that their teachers inform them about expected competencies, course, outcomes and programme outcomes.</w:t>
      </w:r>
    </w:p>
    <w:p w:rsidR="00BB77D5" w:rsidRPr="00711208" w:rsidRDefault="00BB77D5" w:rsidP="00BB77D5">
      <w:pPr>
        <w:rPr>
          <w:rFonts w:ascii="Times New Roman" w:hAnsi="Times New Roman" w:cs="Times New Roman"/>
        </w:rPr>
      </w:pPr>
      <w:r w:rsidRPr="00711208">
        <w:rPr>
          <w:rFonts w:ascii="Times New Roman" w:hAnsi="Times New Roman" w:cs="Times New Roman"/>
        </w:rPr>
        <w:t>78% of the students agree that mentor follow up with an assigned task with them.</w:t>
      </w:r>
    </w:p>
    <w:p w:rsidR="00BB77D5" w:rsidRPr="00711208" w:rsidRDefault="00BB77D5" w:rsidP="00BB77D5">
      <w:pPr>
        <w:rPr>
          <w:rFonts w:ascii="Times New Roman" w:hAnsi="Times New Roman" w:cs="Times New Roman"/>
        </w:rPr>
      </w:pPr>
      <w:r w:rsidRPr="00711208">
        <w:rPr>
          <w:rFonts w:ascii="Times New Roman" w:hAnsi="Times New Roman" w:cs="Times New Roman"/>
        </w:rPr>
        <w:t>In respect to the question of illustrating the concepts explained by teachers, 98%students agree that their teachers explain the concepts through examples and applications and 90% of the students agree that the teacher identify their strengths and 76% of the students agree that teacher are able to identify their weakness help to overcome them.</w:t>
      </w:r>
    </w:p>
    <w:p w:rsidR="00BB77D5" w:rsidRPr="00711208" w:rsidRDefault="00BB77D5" w:rsidP="00BB77D5">
      <w:pPr>
        <w:rPr>
          <w:rFonts w:ascii="Times New Roman" w:hAnsi="Times New Roman" w:cs="Times New Roman"/>
        </w:rPr>
      </w:pPr>
      <w:r w:rsidRPr="00711208">
        <w:rPr>
          <w:rFonts w:ascii="Times New Roman" w:hAnsi="Times New Roman" w:cs="Times New Roman"/>
        </w:rPr>
        <w:lastRenderedPageBreak/>
        <w:t>76% all the students agree that the institution makes an effort to encourage the students in the monitoring reviewing and continuous quality improvement of the teaching learning process and 74% of the students believe that the institute/teachers use student centric method such as experiential learning participative learning and problem-solving methodologies to enhancing learning experiences. 74%students agree with the view point that the teacher encourages them to participate in extracurricular activities.</w:t>
      </w:r>
    </w:p>
    <w:p w:rsidR="00BB77D5" w:rsidRPr="00711208" w:rsidRDefault="00BB77D5" w:rsidP="00BB77D5">
      <w:pPr>
        <w:rPr>
          <w:rFonts w:ascii="Times New Roman" w:hAnsi="Times New Roman" w:cs="Times New Roman"/>
        </w:rPr>
      </w:pPr>
      <w:r w:rsidRPr="00711208">
        <w:rPr>
          <w:rFonts w:ascii="Times New Roman" w:hAnsi="Times New Roman" w:cs="Times New Roman"/>
        </w:rPr>
        <w:t xml:space="preserve">In regard to the efforts made by the Institute inculcate soft skills, life skill and employability skills 66% of the students agree that the teachers make the students ready for the world of work and 56% agree that their teachers use ICT tools such as LCD projector, Multimedia etc. </w:t>
      </w:r>
      <w:proofErr w:type="gramStart"/>
      <w:r w:rsidRPr="00711208">
        <w:rPr>
          <w:rFonts w:ascii="Times New Roman" w:hAnsi="Times New Roman" w:cs="Times New Roman"/>
        </w:rPr>
        <w:t>In teaching.</w:t>
      </w:r>
      <w:proofErr w:type="gramEnd"/>
    </w:p>
    <w:p w:rsidR="00BB77D5" w:rsidRPr="00711208" w:rsidRDefault="00BB77D5" w:rsidP="00BB77D5">
      <w:pPr>
        <w:rPr>
          <w:rFonts w:ascii="Times New Roman" w:hAnsi="Times New Roman" w:cs="Times New Roman"/>
        </w:rPr>
      </w:pPr>
      <w:r w:rsidRPr="00711208">
        <w:rPr>
          <w:rFonts w:ascii="Times New Roman" w:hAnsi="Times New Roman" w:cs="Times New Roman"/>
        </w:rPr>
        <w:t>74% the students agree that overall quality of teaching-learning process in the institute is very good.</w:t>
      </w: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jc w:val="right"/>
        <w:rPr>
          <w:rFonts w:ascii="Times New Roman" w:hAnsi="Times New Roman" w:cs="Times New Roman"/>
        </w:rPr>
      </w:pPr>
      <w:r w:rsidRPr="00711208">
        <w:rPr>
          <w:rFonts w:ascii="Times New Roman" w:hAnsi="Times New Roman" w:cs="Times New Roman"/>
        </w:rPr>
        <w:t>Dean</w:t>
      </w:r>
    </w:p>
    <w:p w:rsidR="00BB77D5" w:rsidRPr="00711208" w:rsidRDefault="00BB77D5" w:rsidP="00BB77D5">
      <w:pPr>
        <w:jc w:val="right"/>
        <w:rPr>
          <w:rFonts w:ascii="Times New Roman" w:hAnsi="Times New Roman" w:cs="Times New Roman"/>
        </w:rPr>
      </w:pPr>
      <w:r w:rsidRPr="00711208">
        <w:rPr>
          <w:rFonts w:ascii="Times New Roman" w:hAnsi="Times New Roman" w:cs="Times New Roman"/>
        </w:rPr>
        <w:t>Department of Arts Faculty</w:t>
      </w: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Pr="00711208" w:rsidRDefault="00BB77D5" w:rsidP="00BB77D5">
      <w:pPr>
        <w:rPr>
          <w:rFonts w:ascii="Times New Roman" w:hAnsi="Times New Roman" w:cs="Times New Roman"/>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Default="00BB77D5" w:rsidP="00BB77D5">
      <w:pPr>
        <w:spacing w:after="0"/>
        <w:jc w:val="center"/>
        <w:rPr>
          <w:rFonts w:ascii="Times New Roman" w:hAnsi="Times New Roman" w:cs="Times New Roman"/>
          <w:b/>
          <w:bCs/>
        </w:rPr>
      </w:pP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National Assessment and Accreditation Council (NAAC)</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Student Satisfaction Survey</w:t>
      </w:r>
    </w:p>
    <w:p w:rsidR="00BB77D5" w:rsidRPr="00711208" w:rsidRDefault="00BB77D5" w:rsidP="00BB77D5">
      <w:pPr>
        <w:spacing w:after="0"/>
        <w:jc w:val="center"/>
        <w:rPr>
          <w:rFonts w:ascii="Times New Roman" w:hAnsi="Times New Roman" w:cs="Times New Roman"/>
          <w:b/>
          <w:bCs/>
        </w:rPr>
      </w:pPr>
      <w:proofErr w:type="spellStart"/>
      <w:r w:rsidRPr="00711208">
        <w:rPr>
          <w:rFonts w:ascii="Times New Roman" w:hAnsi="Times New Roman" w:cs="Times New Roman"/>
          <w:b/>
          <w:bCs/>
        </w:rPr>
        <w:t>Kry</w:t>
      </w:r>
      <w:proofErr w:type="spellEnd"/>
      <w:r w:rsidRPr="00711208">
        <w:rPr>
          <w:rFonts w:ascii="Times New Roman" w:hAnsi="Times New Roman" w:cs="Times New Roman"/>
          <w:b/>
          <w:bCs/>
        </w:rPr>
        <w:t xml:space="preserve"> Indicator-2.71</w:t>
      </w:r>
    </w:p>
    <w:p w:rsidR="00BB77D5" w:rsidRPr="00711208" w:rsidRDefault="00BB77D5" w:rsidP="00BB77D5">
      <w:pPr>
        <w:spacing w:after="0"/>
        <w:jc w:val="center"/>
        <w:rPr>
          <w:rFonts w:ascii="Times New Roman" w:hAnsi="Times New Roman" w:cs="Times New Roman"/>
          <w:b/>
          <w:bCs/>
        </w:rPr>
      </w:pPr>
      <w:r w:rsidRPr="00711208">
        <w:rPr>
          <w:rFonts w:ascii="Times New Roman" w:hAnsi="Times New Roman" w:cs="Times New Roman"/>
          <w:b/>
          <w:bCs/>
        </w:rPr>
        <w:t>Under Criterion II of teaching-learning and evaluation</w:t>
      </w:r>
    </w:p>
    <w:p w:rsidR="00BB77D5" w:rsidRPr="00711208" w:rsidRDefault="00BB77D5" w:rsidP="00BB77D5">
      <w:pPr>
        <w:spacing w:after="0"/>
        <w:jc w:val="center"/>
        <w:rPr>
          <w:rFonts w:ascii="Times New Roman" w:hAnsi="Times New Roman" w:cs="Times New Roman"/>
          <w:b/>
          <w:bCs/>
        </w:rPr>
      </w:pPr>
    </w:p>
    <w:tbl>
      <w:tblPr>
        <w:tblStyle w:val="TableGrid"/>
        <w:tblW w:w="0" w:type="auto"/>
        <w:tblLook w:val="04A0"/>
      </w:tblPr>
      <w:tblGrid>
        <w:gridCol w:w="856"/>
        <w:gridCol w:w="839"/>
        <w:gridCol w:w="838"/>
        <w:gridCol w:w="839"/>
        <w:gridCol w:w="839"/>
        <w:gridCol w:w="839"/>
        <w:gridCol w:w="839"/>
        <w:gridCol w:w="836"/>
        <w:gridCol w:w="839"/>
        <w:gridCol w:w="839"/>
        <w:gridCol w:w="839"/>
      </w:tblGrid>
      <w:tr w:rsidR="00BB77D5" w:rsidRPr="00711208" w:rsidTr="00A75397">
        <w:tc>
          <w:tcPr>
            <w:tcW w:w="859" w:type="dxa"/>
          </w:tcPr>
          <w:p w:rsidR="00BB77D5" w:rsidRPr="00711208" w:rsidRDefault="00BB77D5" w:rsidP="00A75397">
            <w:pPr>
              <w:jc w:val="center"/>
              <w:rPr>
                <w:rFonts w:ascii="Times New Roman" w:hAnsi="Times New Roman" w:cs="Times New Roman"/>
                <w:b/>
                <w:bCs/>
              </w:rPr>
            </w:pPr>
          </w:p>
        </w:tc>
        <w:tc>
          <w:tcPr>
            <w:tcW w:w="8491" w:type="dxa"/>
            <w:gridSpan w:val="10"/>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OPTIONS</w:t>
            </w:r>
          </w:p>
        </w:tc>
      </w:tr>
      <w:tr w:rsidR="00BB77D5" w:rsidRPr="00711208" w:rsidTr="00A75397">
        <w:tc>
          <w:tcPr>
            <w:tcW w:w="85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Ques. No.</w:t>
            </w:r>
          </w:p>
        </w:tc>
        <w:tc>
          <w:tcPr>
            <w:tcW w:w="850"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4</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3</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2</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1</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0</w:t>
            </w:r>
          </w:p>
        </w:tc>
        <w:tc>
          <w:tcPr>
            <w:tcW w:w="849" w:type="dxa"/>
          </w:tcPr>
          <w:p w:rsidR="00BB77D5" w:rsidRPr="00711208" w:rsidRDefault="00BB77D5" w:rsidP="00A75397">
            <w:pPr>
              <w:jc w:val="center"/>
              <w:rPr>
                <w:rFonts w:ascii="Times New Roman" w:hAnsi="Times New Roman" w:cs="Times New Roman"/>
                <w:b/>
                <w:bCs/>
              </w:rPr>
            </w:pPr>
            <w:r w:rsidRPr="00711208">
              <w:rPr>
                <w:rFonts w:ascii="Times New Roman" w:hAnsi="Times New Roman" w:cs="Times New Roman"/>
                <w:b/>
                <w:bCs/>
              </w:rPr>
              <w:t>%</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7</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13</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14</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16</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9</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18</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18</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23</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lastRenderedPageBreak/>
              <w:t>19</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11</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17</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6</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r>
      <w:tr w:rsidR="00BB77D5" w:rsidRPr="00711208" w:rsidTr="00A75397">
        <w:tc>
          <w:tcPr>
            <w:tcW w:w="85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20</w:t>
            </w:r>
          </w:p>
        </w:tc>
        <w:tc>
          <w:tcPr>
            <w:tcW w:w="850"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15</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30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44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12</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24</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c>
          <w:tcPr>
            <w:tcW w:w="849" w:type="dxa"/>
          </w:tcPr>
          <w:p w:rsidR="00BB77D5" w:rsidRPr="00711208" w:rsidRDefault="00BB77D5" w:rsidP="00A75397">
            <w:pPr>
              <w:jc w:val="center"/>
              <w:rPr>
                <w:rFonts w:ascii="Times New Roman" w:hAnsi="Times New Roman" w:cs="Times New Roman"/>
              </w:rPr>
            </w:pPr>
            <w:r w:rsidRPr="00711208">
              <w:rPr>
                <w:rFonts w:ascii="Times New Roman" w:hAnsi="Times New Roman" w:cs="Times New Roman"/>
              </w:rPr>
              <w:t>0</w:t>
            </w:r>
          </w:p>
        </w:tc>
      </w:tr>
    </w:tbl>
    <w:p w:rsidR="00BB77D5" w:rsidRPr="00711208" w:rsidRDefault="00BB77D5" w:rsidP="00BB77D5">
      <w:pPr>
        <w:spacing w:after="0"/>
        <w:jc w:val="center"/>
        <w:rPr>
          <w:rFonts w:ascii="Times New Roman" w:hAnsi="Times New Roman" w:cs="Times New Roman"/>
          <w:b/>
          <w:bCs/>
        </w:rPr>
      </w:pPr>
    </w:p>
    <w:p w:rsidR="00BB77D5" w:rsidRPr="00711208" w:rsidRDefault="00BB77D5" w:rsidP="00BB77D5">
      <w:pPr>
        <w:rPr>
          <w:rFonts w:ascii="Times New Roman" w:hAnsi="Times New Roman" w:cs="Times New Roman"/>
        </w:rPr>
      </w:pPr>
    </w:p>
    <w:p w:rsidR="000E07B4" w:rsidRDefault="000E07B4"/>
    <w:sectPr w:rsidR="000E07B4" w:rsidSect="000E07B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564"/>
    <w:multiLevelType w:val="hybridMultilevel"/>
    <w:tmpl w:val="B10C9E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7E47D5"/>
    <w:multiLevelType w:val="hybridMultilevel"/>
    <w:tmpl w:val="11DC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8496D"/>
    <w:multiLevelType w:val="hybridMultilevel"/>
    <w:tmpl w:val="178CB7B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93B2A"/>
    <w:multiLevelType w:val="multilevel"/>
    <w:tmpl w:val="DFC62A36"/>
    <w:lvl w:ilvl="0">
      <w:start w:val="23"/>
      <w:numFmt w:val="decimal"/>
      <w:lvlText w:val="%1"/>
      <w:lvlJc w:val="left"/>
      <w:pPr>
        <w:ind w:left="960" w:hanging="960"/>
      </w:pPr>
      <w:rPr>
        <w:rFonts w:hint="default"/>
      </w:rPr>
    </w:lvl>
    <w:lvl w:ilvl="1">
      <w:start w:val="8"/>
      <w:numFmt w:val="decimal"/>
      <w:lvlText w:val="%1.%2"/>
      <w:lvlJc w:val="left"/>
      <w:pPr>
        <w:ind w:left="960" w:hanging="960"/>
      </w:pPr>
      <w:rPr>
        <w:rFonts w:hint="default"/>
      </w:rPr>
    </w:lvl>
    <w:lvl w:ilvl="2">
      <w:start w:val="2018"/>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94B7B"/>
    <w:multiLevelType w:val="hybridMultilevel"/>
    <w:tmpl w:val="09A8EC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550C7"/>
    <w:multiLevelType w:val="hybridMultilevel"/>
    <w:tmpl w:val="5F2E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D46474C"/>
    <w:multiLevelType w:val="multilevel"/>
    <w:tmpl w:val="A560CD98"/>
    <w:lvl w:ilvl="0">
      <w:start w:val="1"/>
      <w:numFmt w:val="decimal"/>
      <w:lvlText w:val="%1."/>
      <w:lvlJc w:val="left"/>
      <w:pPr>
        <w:ind w:left="720" w:hanging="360"/>
      </w:pPr>
    </w:lvl>
    <w:lvl w:ilvl="1">
      <w:start w:val="8"/>
      <w:numFmt w:val="decimal"/>
      <w:isLgl/>
      <w:lvlText w:val="%1.%2"/>
      <w:lvlJc w:val="left"/>
      <w:pPr>
        <w:ind w:left="1245" w:hanging="885"/>
      </w:pPr>
      <w:rPr>
        <w:rFonts w:hint="default"/>
      </w:rPr>
    </w:lvl>
    <w:lvl w:ilvl="2">
      <w:start w:val="2018"/>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5B672C"/>
    <w:multiLevelType w:val="hybridMultilevel"/>
    <w:tmpl w:val="AB0680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33648B"/>
    <w:multiLevelType w:val="hybridMultilevel"/>
    <w:tmpl w:val="D2546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1E478C"/>
    <w:multiLevelType w:val="hybridMultilevel"/>
    <w:tmpl w:val="44746402"/>
    <w:lvl w:ilvl="0" w:tplc="40090011">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5834912"/>
    <w:multiLevelType w:val="hybridMultilevel"/>
    <w:tmpl w:val="81565878"/>
    <w:lvl w:ilvl="0" w:tplc="FFFFFFFF">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40B1C"/>
    <w:multiLevelType w:val="hybridMultilevel"/>
    <w:tmpl w:val="C1C41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265577"/>
    <w:multiLevelType w:val="hybridMultilevel"/>
    <w:tmpl w:val="0DDAE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1E5E75"/>
    <w:multiLevelType w:val="hybridMultilevel"/>
    <w:tmpl w:val="7AF22AF4"/>
    <w:lvl w:ilvl="0" w:tplc="FFFFFFFF">
      <w:start w:val="1"/>
      <w:numFmt w:val="decimal"/>
      <w:lvlText w:val="%1)"/>
      <w:lvlJc w:val="left"/>
      <w:pPr>
        <w:ind w:left="1440" w:hanging="360"/>
      </w:pPr>
      <w:rPr>
        <w:rFonts w:hint="default"/>
      </w:rPr>
    </w:lvl>
    <w:lvl w:ilvl="1" w:tplc="40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2F7CB2"/>
    <w:multiLevelType w:val="hybridMultilevel"/>
    <w:tmpl w:val="34DAF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E437E3"/>
    <w:multiLevelType w:val="hybridMultilevel"/>
    <w:tmpl w:val="6B68E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4429A4"/>
    <w:multiLevelType w:val="hybridMultilevel"/>
    <w:tmpl w:val="68642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5A33CB2"/>
    <w:multiLevelType w:val="hybridMultilevel"/>
    <w:tmpl w:val="8B64F1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8D27140"/>
    <w:multiLevelType w:val="hybridMultilevel"/>
    <w:tmpl w:val="D1AA12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A93248B"/>
    <w:multiLevelType w:val="hybridMultilevel"/>
    <w:tmpl w:val="55D68B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DF0FBE"/>
    <w:multiLevelType w:val="hybridMultilevel"/>
    <w:tmpl w:val="4C28F1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F1D6474"/>
    <w:multiLevelType w:val="hybridMultilevel"/>
    <w:tmpl w:val="1B1E9D8C"/>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FEF5CB9"/>
    <w:multiLevelType w:val="hybridMultilevel"/>
    <w:tmpl w:val="BEA071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B919AD"/>
    <w:multiLevelType w:val="hybridMultilevel"/>
    <w:tmpl w:val="7C428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5544D7D"/>
    <w:multiLevelType w:val="hybridMultilevel"/>
    <w:tmpl w:val="F88A57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572137"/>
    <w:multiLevelType w:val="hybridMultilevel"/>
    <w:tmpl w:val="6C66EF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C5CD1"/>
    <w:multiLevelType w:val="hybridMultilevel"/>
    <w:tmpl w:val="32DC8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1131E0"/>
    <w:multiLevelType w:val="hybridMultilevel"/>
    <w:tmpl w:val="16622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54768D"/>
    <w:multiLevelType w:val="hybridMultilevel"/>
    <w:tmpl w:val="422CFD34"/>
    <w:lvl w:ilvl="0" w:tplc="FFFFFFFF">
      <w:start w:val="1"/>
      <w:numFmt w:val="decimal"/>
      <w:lvlText w:val="%1."/>
      <w:lvlJc w:val="left"/>
      <w:pPr>
        <w:ind w:left="720" w:hanging="360"/>
      </w:pPr>
      <w:rPr>
        <w:rFonts w:hint="default"/>
      </w:rPr>
    </w:lvl>
    <w:lvl w:ilvl="1" w:tplc="2506C12E">
      <w:start w:val="1"/>
      <w:numFmt w:val="decimal"/>
      <w:lvlText w:val="%2)"/>
      <w:lvlJc w:val="left"/>
      <w:pPr>
        <w:ind w:left="1440" w:hanging="360"/>
      </w:pPr>
      <w:rPr>
        <w:rFonts w:hint="default"/>
      </w:rPr>
    </w:lvl>
    <w:lvl w:ilvl="2" w:tplc="D6B8EAEA">
      <w:start w:val="1"/>
      <w:numFmt w:val="decimal"/>
      <w:lvlText w:val="%3"/>
      <w:lvlJc w:val="left"/>
      <w:pPr>
        <w:ind w:left="2340" w:hanging="360"/>
      </w:pPr>
      <w:rPr>
        <w:rFonts w:hint="default"/>
      </w:rPr>
    </w:lvl>
    <w:lvl w:ilvl="3" w:tplc="76AC467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978A8"/>
    <w:multiLevelType w:val="hybridMultilevel"/>
    <w:tmpl w:val="3A34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76639"/>
    <w:multiLevelType w:val="hybridMultilevel"/>
    <w:tmpl w:val="B6406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9314177"/>
    <w:multiLevelType w:val="hybridMultilevel"/>
    <w:tmpl w:val="E1FADDEE"/>
    <w:lvl w:ilvl="0" w:tplc="7C044B16">
      <w:start w:val="1"/>
      <w:numFmt w:val="decimal"/>
      <w:lvlText w:val="%1)"/>
      <w:lvlJc w:val="left"/>
      <w:pPr>
        <w:ind w:left="1440" w:hanging="360"/>
      </w:pPr>
      <w:rPr>
        <w:rFonts w:asciiTheme="minorHAnsi" w:eastAsiaTheme="minorEastAsia" w:hAnsiTheme="minorHAnsi" w:cstheme="minorBidi"/>
      </w:rPr>
    </w:lvl>
    <w:lvl w:ilvl="1" w:tplc="F23CA39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382A8C"/>
    <w:multiLevelType w:val="multilevel"/>
    <w:tmpl w:val="DACAFC5C"/>
    <w:lvl w:ilvl="0">
      <w:start w:val="23"/>
      <w:numFmt w:val="decimal"/>
      <w:lvlText w:val="%1"/>
      <w:lvlJc w:val="left"/>
      <w:pPr>
        <w:ind w:left="960" w:hanging="960"/>
      </w:pPr>
      <w:rPr>
        <w:rFonts w:hint="default"/>
      </w:rPr>
    </w:lvl>
    <w:lvl w:ilvl="1">
      <w:start w:val="8"/>
      <w:numFmt w:val="decimal"/>
      <w:lvlText w:val="%1.%2"/>
      <w:lvlJc w:val="left"/>
      <w:pPr>
        <w:ind w:left="1140" w:hanging="960"/>
      </w:pPr>
      <w:rPr>
        <w:rFonts w:hint="default"/>
      </w:rPr>
    </w:lvl>
    <w:lvl w:ilvl="2">
      <w:start w:val="2018"/>
      <w:numFmt w:val="decimal"/>
      <w:lvlText w:val="%1.%2.%3"/>
      <w:lvlJc w:val="left"/>
      <w:pPr>
        <w:ind w:left="1320" w:hanging="960"/>
      </w:pPr>
      <w:rPr>
        <w:rFonts w:hint="default"/>
      </w:rPr>
    </w:lvl>
    <w:lvl w:ilvl="3">
      <w:start w:val="1"/>
      <w:numFmt w:val="decimal"/>
      <w:lvlText w:val="%1.%2.%3.%4"/>
      <w:lvlJc w:val="left"/>
      <w:pPr>
        <w:ind w:left="1500" w:hanging="96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71A75437"/>
    <w:multiLevelType w:val="hybridMultilevel"/>
    <w:tmpl w:val="3530D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46235CB"/>
    <w:multiLevelType w:val="hybridMultilevel"/>
    <w:tmpl w:val="E422B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4E01629"/>
    <w:multiLevelType w:val="hybridMultilevel"/>
    <w:tmpl w:val="A9D6F8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6D1795B"/>
    <w:multiLevelType w:val="hybridMultilevel"/>
    <w:tmpl w:val="2D825D9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74749C"/>
    <w:multiLevelType w:val="hybridMultilevel"/>
    <w:tmpl w:val="92AEB4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8"/>
  </w:num>
  <w:num w:numId="3">
    <w:abstractNumId w:val="31"/>
  </w:num>
  <w:num w:numId="4">
    <w:abstractNumId w:val="36"/>
  </w:num>
  <w:num w:numId="5">
    <w:abstractNumId w:val="13"/>
  </w:num>
  <w:num w:numId="6">
    <w:abstractNumId w:val="2"/>
  </w:num>
  <w:num w:numId="7">
    <w:abstractNumId w:val="1"/>
  </w:num>
  <w:num w:numId="8">
    <w:abstractNumId w:val="29"/>
  </w:num>
  <w:num w:numId="9">
    <w:abstractNumId w:val="10"/>
  </w:num>
  <w:num w:numId="10">
    <w:abstractNumId w:val="25"/>
  </w:num>
  <w:num w:numId="11">
    <w:abstractNumId w:val="18"/>
  </w:num>
  <w:num w:numId="12">
    <w:abstractNumId w:val="15"/>
  </w:num>
  <w:num w:numId="13">
    <w:abstractNumId w:val="21"/>
  </w:num>
  <w:num w:numId="14">
    <w:abstractNumId w:val="9"/>
  </w:num>
  <w:num w:numId="15">
    <w:abstractNumId w:val="11"/>
  </w:num>
  <w:num w:numId="16">
    <w:abstractNumId w:val="20"/>
  </w:num>
  <w:num w:numId="17">
    <w:abstractNumId w:val="27"/>
  </w:num>
  <w:num w:numId="18">
    <w:abstractNumId w:val="8"/>
  </w:num>
  <w:num w:numId="19">
    <w:abstractNumId w:val="0"/>
  </w:num>
  <w:num w:numId="20">
    <w:abstractNumId w:val="23"/>
  </w:num>
  <w:num w:numId="21">
    <w:abstractNumId w:val="7"/>
  </w:num>
  <w:num w:numId="22">
    <w:abstractNumId w:val="37"/>
  </w:num>
  <w:num w:numId="23">
    <w:abstractNumId w:val="26"/>
  </w:num>
  <w:num w:numId="24">
    <w:abstractNumId w:val="24"/>
  </w:num>
  <w:num w:numId="25">
    <w:abstractNumId w:val="19"/>
  </w:num>
  <w:num w:numId="26">
    <w:abstractNumId w:val="35"/>
  </w:num>
  <w:num w:numId="27">
    <w:abstractNumId w:val="34"/>
  </w:num>
  <w:num w:numId="28">
    <w:abstractNumId w:val="33"/>
  </w:num>
  <w:num w:numId="29">
    <w:abstractNumId w:val="17"/>
  </w:num>
  <w:num w:numId="30">
    <w:abstractNumId w:val="6"/>
  </w:num>
  <w:num w:numId="31">
    <w:abstractNumId w:val="14"/>
  </w:num>
  <w:num w:numId="32">
    <w:abstractNumId w:val="30"/>
  </w:num>
  <w:num w:numId="33">
    <w:abstractNumId w:val="32"/>
  </w:num>
  <w:num w:numId="34">
    <w:abstractNumId w:val="3"/>
  </w:num>
  <w:num w:numId="35">
    <w:abstractNumId w:val="16"/>
  </w:num>
  <w:num w:numId="36">
    <w:abstractNumId w:val="12"/>
  </w:num>
  <w:num w:numId="37">
    <w:abstractNumId w:val="5"/>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B77D5"/>
    <w:rsid w:val="000E07B4"/>
    <w:rsid w:val="00BB77D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D5"/>
    <w:pPr>
      <w:spacing w:after="160" w:line="278" w:lineRule="auto"/>
    </w:pPr>
    <w:rPr>
      <w:rFonts w:eastAsiaTheme="minorEastAsia"/>
      <w:kern w:val="2"/>
      <w:sz w:val="24"/>
      <w:szCs w:val="21"/>
    </w:rPr>
  </w:style>
  <w:style w:type="paragraph" w:styleId="Heading1">
    <w:name w:val="heading 1"/>
    <w:basedOn w:val="Normal"/>
    <w:next w:val="Normal"/>
    <w:link w:val="Heading1Char"/>
    <w:uiPriority w:val="9"/>
    <w:qFormat/>
    <w:rsid w:val="00BB77D5"/>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semiHidden/>
    <w:unhideWhenUsed/>
    <w:qFormat/>
    <w:rsid w:val="00BB77D5"/>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BB77D5"/>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BB77D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B77D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B7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7D5"/>
    <w:rPr>
      <w:rFonts w:asciiTheme="majorHAnsi" w:eastAsiaTheme="majorEastAsia" w:hAnsiTheme="majorHAnsi" w:cstheme="majorBidi"/>
      <w:color w:val="365F91" w:themeColor="accent1" w:themeShade="BF"/>
      <w:kern w:val="2"/>
      <w:sz w:val="40"/>
      <w:szCs w:val="36"/>
    </w:rPr>
  </w:style>
  <w:style w:type="character" w:customStyle="1" w:styleId="Heading2Char">
    <w:name w:val="Heading 2 Char"/>
    <w:basedOn w:val="DefaultParagraphFont"/>
    <w:link w:val="Heading2"/>
    <w:uiPriority w:val="9"/>
    <w:semiHidden/>
    <w:rsid w:val="00BB77D5"/>
    <w:rPr>
      <w:rFonts w:asciiTheme="majorHAnsi" w:eastAsiaTheme="majorEastAsia" w:hAnsiTheme="majorHAnsi" w:cstheme="majorBidi"/>
      <w:color w:val="365F91" w:themeColor="accent1" w:themeShade="BF"/>
      <w:kern w:val="2"/>
      <w:sz w:val="32"/>
      <w:szCs w:val="29"/>
    </w:rPr>
  </w:style>
  <w:style w:type="character" w:customStyle="1" w:styleId="Heading3Char">
    <w:name w:val="Heading 3 Char"/>
    <w:basedOn w:val="DefaultParagraphFont"/>
    <w:link w:val="Heading3"/>
    <w:uiPriority w:val="9"/>
    <w:semiHidden/>
    <w:rsid w:val="00BB77D5"/>
    <w:rPr>
      <w:rFonts w:eastAsiaTheme="majorEastAsia" w:cstheme="majorBidi"/>
      <w:color w:val="365F91" w:themeColor="accent1" w:themeShade="BF"/>
      <w:kern w:val="2"/>
      <w:sz w:val="28"/>
      <w:szCs w:val="25"/>
    </w:rPr>
  </w:style>
  <w:style w:type="character" w:customStyle="1" w:styleId="Heading4Char">
    <w:name w:val="Heading 4 Char"/>
    <w:basedOn w:val="DefaultParagraphFont"/>
    <w:link w:val="Heading4"/>
    <w:uiPriority w:val="9"/>
    <w:semiHidden/>
    <w:rsid w:val="00BB77D5"/>
    <w:rPr>
      <w:rFonts w:eastAsiaTheme="majorEastAsia" w:cstheme="majorBidi"/>
      <w:i/>
      <w:iCs/>
      <w:color w:val="365F91" w:themeColor="accent1" w:themeShade="BF"/>
      <w:kern w:val="2"/>
      <w:sz w:val="24"/>
      <w:szCs w:val="21"/>
    </w:rPr>
  </w:style>
  <w:style w:type="character" w:customStyle="1" w:styleId="Heading5Char">
    <w:name w:val="Heading 5 Char"/>
    <w:basedOn w:val="DefaultParagraphFont"/>
    <w:link w:val="Heading5"/>
    <w:uiPriority w:val="9"/>
    <w:semiHidden/>
    <w:rsid w:val="00BB77D5"/>
    <w:rPr>
      <w:rFonts w:eastAsiaTheme="majorEastAsia" w:cstheme="majorBidi"/>
      <w:color w:val="365F91" w:themeColor="accent1" w:themeShade="BF"/>
      <w:kern w:val="2"/>
      <w:sz w:val="24"/>
      <w:szCs w:val="21"/>
    </w:rPr>
  </w:style>
  <w:style w:type="character" w:customStyle="1" w:styleId="Heading6Char">
    <w:name w:val="Heading 6 Char"/>
    <w:basedOn w:val="DefaultParagraphFont"/>
    <w:link w:val="Heading6"/>
    <w:uiPriority w:val="9"/>
    <w:semiHidden/>
    <w:rsid w:val="00BB77D5"/>
    <w:rPr>
      <w:rFonts w:eastAsiaTheme="majorEastAsia" w:cstheme="majorBidi"/>
      <w:i/>
      <w:iCs/>
      <w:color w:val="595959" w:themeColor="text1" w:themeTint="A6"/>
      <w:kern w:val="2"/>
      <w:sz w:val="24"/>
      <w:szCs w:val="21"/>
    </w:rPr>
  </w:style>
  <w:style w:type="character" w:customStyle="1" w:styleId="Heading7Char">
    <w:name w:val="Heading 7 Char"/>
    <w:basedOn w:val="DefaultParagraphFont"/>
    <w:link w:val="Heading7"/>
    <w:uiPriority w:val="9"/>
    <w:semiHidden/>
    <w:rsid w:val="00BB77D5"/>
    <w:rPr>
      <w:rFonts w:eastAsiaTheme="majorEastAsia" w:cstheme="majorBidi"/>
      <w:color w:val="595959" w:themeColor="text1" w:themeTint="A6"/>
      <w:kern w:val="2"/>
      <w:sz w:val="24"/>
      <w:szCs w:val="21"/>
    </w:rPr>
  </w:style>
  <w:style w:type="character" w:customStyle="1" w:styleId="Heading8Char">
    <w:name w:val="Heading 8 Char"/>
    <w:basedOn w:val="DefaultParagraphFont"/>
    <w:link w:val="Heading8"/>
    <w:uiPriority w:val="9"/>
    <w:semiHidden/>
    <w:rsid w:val="00BB77D5"/>
    <w:rPr>
      <w:rFonts w:eastAsiaTheme="majorEastAsia" w:cstheme="majorBidi"/>
      <w:i/>
      <w:iCs/>
      <w:color w:val="272727" w:themeColor="text1" w:themeTint="D8"/>
      <w:kern w:val="2"/>
      <w:sz w:val="24"/>
      <w:szCs w:val="21"/>
    </w:rPr>
  </w:style>
  <w:style w:type="character" w:customStyle="1" w:styleId="Heading9Char">
    <w:name w:val="Heading 9 Char"/>
    <w:basedOn w:val="DefaultParagraphFont"/>
    <w:link w:val="Heading9"/>
    <w:uiPriority w:val="9"/>
    <w:semiHidden/>
    <w:rsid w:val="00BB77D5"/>
    <w:rPr>
      <w:rFonts w:eastAsiaTheme="majorEastAsia" w:cstheme="majorBidi"/>
      <w:color w:val="272727" w:themeColor="text1" w:themeTint="D8"/>
      <w:kern w:val="2"/>
      <w:sz w:val="24"/>
      <w:szCs w:val="21"/>
    </w:rPr>
  </w:style>
  <w:style w:type="paragraph" w:styleId="Title">
    <w:name w:val="Title"/>
    <w:basedOn w:val="Normal"/>
    <w:next w:val="Normal"/>
    <w:link w:val="TitleChar"/>
    <w:uiPriority w:val="10"/>
    <w:qFormat/>
    <w:rsid w:val="00BB77D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B77D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B77D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B77D5"/>
    <w:rPr>
      <w:rFonts w:eastAsiaTheme="majorEastAsia" w:cstheme="majorBidi"/>
      <w:color w:val="595959" w:themeColor="text1" w:themeTint="A6"/>
      <w:spacing w:val="15"/>
      <w:kern w:val="2"/>
      <w:sz w:val="28"/>
      <w:szCs w:val="25"/>
    </w:rPr>
  </w:style>
  <w:style w:type="paragraph" w:styleId="Quote">
    <w:name w:val="Quote"/>
    <w:basedOn w:val="Normal"/>
    <w:next w:val="Normal"/>
    <w:link w:val="QuoteChar"/>
    <w:uiPriority w:val="29"/>
    <w:qFormat/>
    <w:rsid w:val="00BB77D5"/>
    <w:pPr>
      <w:spacing w:before="160"/>
      <w:jc w:val="center"/>
    </w:pPr>
    <w:rPr>
      <w:i/>
      <w:iCs/>
      <w:color w:val="404040" w:themeColor="text1" w:themeTint="BF"/>
    </w:rPr>
  </w:style>
  <w:style w:type="character" w:customStyle="1" w:styleId="QuoteChar">
    <w:name w:val="Quote Char"/>
    <w:basedOn w:val="DefaultParagraphFont"/>
    <w:link w:val="Quote"/>
    <w:uiPriority w:val="29"/>
    <w:rsid w:val="00BB77D5"/>
    <w:rPr>
      <w:rFonts w:eastAsiaTheme="minorEastAsia"/>
      <w:i/>
      <w:iCs/>
      <w:color w:val="404040" w:themeColor="text1" w:themeTint="BF"/>
      <w:kern w:val="2"/>
      <w:sz w:val="24"/>
      <w:szCs w:val="21"/>
    </w:rPr>
  </w:style>
  <w:style w:type="paragraph" w:styleId="ListParagraph">
    <w:name w:val="List Paragraph"/>
    <w:basedOn w:val="Normal"/>
    <w:uiPriority w:val="34"/>
    <w:qFormat/>
    <w:rsid w:val="00BB77D5"/>
    <w:pPr>
      <w:ind w:left="720"/>
      <w:contextualSpacing/>
    </w:pPr>
  </w:style>
  <w:style w:type="character" w:styleId="IntenseEmphasis">
    <w:name w:val="Intense Emphasis"/>
    <w:basedOn w:val="DefaultParagraphFont"/>
    <w:uiPriority w:val="21"/>
    <w:qFormat/>
    <w:rsid w:val="00BB77D5"/>
    <w:rPr>
      <w:i/>
      <w:iCs/>
      <w:color w:val="365F91" w:themeColor="accent1" w:themeShade="BF"/>
    </w:rPr>
  </w:style>
  <w:style w:type="paragraph" w:styleId="IntenseQuote">
    <w:name w:val="Intense Quote"/>
    <w:basedOn w:val="Normal"/>
    <w:next w:val="Normal"/>
    <w:link w:val="IntenseQuoteChar"/>
    <w:uiPriority w:val="30"/>
    <w:qFormat/>
    <w:rsid w:val="00BB77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B77D5"/>
    <w:rPr>
      <w:rFonts w:eastAsiaTheme="minorEastAsia"/>
      <w:i/>
      <w:iCs/>
      <w:color w:val="365F91" w:themeColor="accent1" w:themeShade="BF"/>
      <w:kern w:val="2"/>
      <w:sz w:val="24"/>
      <w:szCs w:val="21"/>
    </w:rPr>
  </w:style>
  <w:style w:type="character" w:styleId="IntenseReference">
    <w:name w:val="Intense Reference"/>
    <w:basedOn w:val="DefaultParagraphFont"/>
    <w:uiPriority w:val="32"/>
    <w:qFormat/>
    <w:rsid w:val="00BB77D5"/>
    <w:rPr>
      <w:b/>
      <w:bCs/>
      <w:smallCaps/>
      <w:color w:val="365F91" w:themeColor="accent1" w:themeShade="BF"/>
      <w:spacing w:val="5"/>
    </w:rPr>
  </w:style>
  <w:style w:type="table" w:styleId="TableGrid">
    <w:name w:val="Table Grid"/>
    <w:basedOn w:val="TableNormal"/>
    <w:uiPriority w:val="39"/>
    <w:rsid w:val="00BB77D5"/>
    <w:pPr>
      <w:spacing w:after="0" w:line="240" w:lineRule="auto"/>
    </w:pPr>
    <w:rPr>
      <w:rFonts w:eastAsiaTheme="minorEastAsia"/>
      <w:kern w:val="2"/>
      <w:sz w:val="24"/>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77D5"/>
    <w:pPr>
      <w:spacing w:after="0" w:line="240" w:lineRule="auto"/>
    </w:pPr>
    <w:rPr>
      <w:rFonts w:eastAsiaTheme="minorEastAsia"/>
      <w:kern w:val="2"/>
      <w:sz w:val="24"/>
      <w:szCs w:val="21"/>
    </w:rPr>
  </w:style>
  <w:style w:type="character" w:styleId="Hyperlink">
    <w:name w:val="Hyperlink"/>
    <w:basedOn w:val="DefaultParagraphFont"/>
    <w:uiPriority w:val="99"/>
    <w:unhideWhenUsed/>
    <w:rsid w:val="00BB77D5"/>
    <w:rPr>
      <w:color w:val="0000FF" w:themeColor="hyperlink"/>
      <w:u w:val="single"/>
    </w:rPr>
  </w:style>
  <w:style w:type="character" w:customStyle="1" w:styleId="UnresolvedMention">
    <w:name w:val="Unresolved Mention"/>
    <w:basedOn w:val="DefaultParagraphFont"/>
    <w:uiPriority w:val="99"/>
    <w:semiHidden/>
    <w:unhideWhenUsed/>
    <w:rsid w:val="00BB77D5"/>
    <w:rPr>
      <w:color w:val="605E5C"/>
      <w:shd w:val="clear" w:color="auto" w:fill="E1DFDD"/>
    </w:rPr>
  </w:style>
  <w:style w:type="paragraph" w:styleId="NormalWeb">
    <w:name w:val="Normal (Web)"/>
    <w:basedOn w:val="Normal"/>
    <w:uiPriority w:val="99"/>
    <w:semiHidden/>
    <w:unhideWhenUsed/>
    <w:rsid w:val="00BB77D5"/>
    <w:pPr>
      <w:spacing w:before="100" w:beforeAutospacing="1" w:after="100" w:afterAutospacing="1" w:line="240" w:lineRule="auto"/>
    </w:pPr>
    <w:rPr>
      <w:rFonts w:ascii="Times New Roman" w:eastAsia="Times New Roman" w:hAnsi="Times New Roman" w:cs="Times New Roman"/>
      <w:kern w:val="0"/>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1690</Words>
  <Characters>9635</Characters>
  <Application>Microsoft Office Word</Application>
  <DocSecurity>0</DocSecurity>
  <Lines>80</Lines>
  <Paragraphs>22</Paragraphs>
  <ScaleCrop>false</ScaleCrop>
  <Company>Microsoft</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2024-05-14T10:31:00Z</dcterms:created>
  <dcterms:modified xsi:type="dcterms:W3CDTF">2024-05-14T10:31:00Z</dcterms:modified>
</cp:coreProperties>
</file>